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jc w:val="center"/>
        <w:rPr>
          <w:b w:val="1"/>
          <w:bCs w:val="1"/>
        </w:rPr>
      </w:pPr>
      <w:r>
        <w:rPr>
          <w:b w:val="1"/>
          <w:bCs w:val="1"/>
          <w:rtl w:val="0"/>
          <w:lang w:val="en-US"/>
        </w:rPr>
        <w:t>UNIVERSITY GRADUATE SCHOOL BULLETIN</w:t>
      </w:r>
    </w:p>
    <w:p>
      <w:pPr>
        <w:pStyle w:val="Normal (Web)"/>
        <w:spacing w:before="0" w:after="0"/>
        <w:jc w:val="center"/>
        <w:rPr>
          <w:b w:val="1"/>
          <w:bCs w:val="1"/>
        </w:rPr>
      </w:pPr>
      <w:r>
        <w:rPr>
          <w:b w:val="1"/>
          <w:bCs w:val="1"/>
          <w:rtl w:val="0"/>
          <w:lang w:val="en-US"/>
        </w:rPr>
        <w:t>ANNOUNCEMENT</w:t>
      </w:r>
    </w:p>
    <w:p>
      <w:pPr>
        <w:pStyle w:val="Normal (Web)"/>
        <w:spacing w:before="0" w:after="0"/>
        <w:jc w:val="center"/>
        <w:rPr>
          <w:b w:val="1"/>
          <w:bCs w:val="1"/>
        </w:rPr>
      </w:pPr>
    </w:p>
    <w:p>
      <w:pPr>
        <w:pStyle w:val="Normal (Web)"/>
        <w:spacing w:before="0" w:after="0"/>
        <w:rPr>
          <w:b w:val="1"/>
          <w:bCs w:val="1"/>
        </w:rPr>
      </w:pPr>
      <w:r>
        <w:rPr>
          <w:b w:val="1"/>
          <w:bCs w:val="1"/>
          <w:rtl w:val="0"/>
          <w:lang w:val="en-US"/>
        </w:rPr>
        <w:t xml:space="preserve">Florida International University </w:t>
      </w:r>
    </w:p>
    <w:p>
      <w:pPr>
        <w:pStyle w:val="Normal (Web)"/>
        <w:spacing w:before="0" w:after="0"/>
        <w:rPr>
          <w:i w:val="1"/>
          <w:iCs w:val="1"/>
        </w:rPr>
      </w:pPr>
      <w:r>
        <w:rPr>
          <w:i w:val="1"/>
          <w:iCs w:val="1"/>
          <w:rtl w:val="0"/>
          <w:lang w:val="en-US"/>
        </w:rPr>
        <w:t xml:space="preserve">University Graduate School </w:t>
      </w:r>
    </w:p>
    <w:p>
      <w:pPr>
        <w:pStyle w:val="Normal (Web)"/>
        <w:jc w:val="center"/>
      </w:pPr>
      <w:r>
        <w:rPr>
          <w:rtl w:val="0"/>
          <w:lang w:val="en-US"/>
        </w:rPr>
        <w:t>Doctoral Dissertation Defense</w:t>
      </w:r>
    </w:p>
    <w:p>
      <w:pPr>
        <w:pStyle w:val="Normal (Web)"/>
        <w:jc w:val="center"/>
        <w:rPr>
          <w:b w:val="1"/>
          <w:bCs w:val="1"/>
        </w:rPr>
      </w:pPr>
      <w:r>
        <w:rPr>
          <w:b w:val="1"/>
          <w:bCs w:val="1"/>
          <w:rtl w:val="0"/>
          <w:lang w:val="en-US"/>
        </w:rPr>
        <w:t>Abstract</w:t>
      </w:r>
    </w:p>
    <w:p>
      <w:pPr>
        <w:pStyle w:val="Body"/>
        <w:spacing w:line="480" w:lineRule="auto"/>
        <w:jc w:val="center"/>
        <w:rPr>
          <w:rFonts w:ascii="Times New Roman" w:cs="Times New Roman" w:hAnsi="Times New Roman" w:eastAsia="Times New Roman"/>
          <w:b w:val="1"/>
          <w:bCs w:val="1"/>
          <w:outline w:val="0"/>
          <w:color w:val="000000"/>
          <w:sz w:val="30"/>
          <w:szCs w:val="3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Mountains of Knowledge: Indigenous Labor, Land Inspections and the Engineering of the Early Colonial Andes</w:t>
      </w:r>
    </w:p>
    <w:p>
      <w:pPr>
        <w:pStyle w:val="Body"/>
        <w:jc w:val="center"/>
        <w:rPr>
          <w:rFonts w:ascii="Times New Roman" w:cs="Times New Roman" w:hAnsi="Times New Roman" w:eastAsia="Times New Roman"/>
        </w:rPr>
      </w:pPr>
      <w:r>
        <w:rPr>
          <w:rFonts w:ascii="Times New Roman" w:hAnsi="Times New Roman"/>
          <w:rtl w:val="0"/>
        </w:rPr>
        <w:t>by</w:t>
      </w:r>
    </w:p>
    <w:p>
      <w:pPr>
        <w:pStyle w:val="Body"/>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b w:val="1"/>
          <w:bCs w:val="1"/>
        </w:rPr>
      </w:pPr>
      <w:r>
        <w:rPr>
          <w:rFonts w:ascii="Times New Roman" w:hAnsi="Times New Roman"/>
          <w:b w:val="1"/>
          <w:bCs w:val="1"/>
          <w:rtl w:val="0"/>
          <w:lang w:val="es-ES_tradnl"/>
        </w:rPr>
        <w:t>Alfredo Escudero Villanueva</w:t>
      </w:r>
    </w:p>
    <w:p>
      <w:pPr>
        <w:pStyle w:val="Body"/>
        <w:spacing w:line="480" w:lineRule="auto"/>
        <w:ind w:firstLine="720"/>
        <w:rPr>
          <w:rFonts w:ascii="Times New Roman" w:cs="Times New Roman" w:hAnsi="Times New Roman" w:eastAsia="Times New Roman"/>
          <w:b w:val="1"/>
          <w:bCs w:val="1"/>
          <w:sz w:val="22"/>
          <w:szCs w:val="22"/>
        </w:rPr>
      </w:pPr>
      <w:r>
        <w:rPr>
          <w:rFonts w:ascii="Times New Roman" w:hAnsi="Times New Roman"/>
          <w:outline w:val="0"/>
          <w:color w:val="000000"/>
          <w:kern w:val="0"/>
          <w:sz w:val="22"/>
          <w:szCs w:val="22"/>
          <w:u w:color="000000"/>
          <w:rtl w:val="0"/>
          <w:lang w:val="en-US"/>
          <w14:textFill>
            <w14:solidFill>
              <w14:srgbClr w14:val="000000"/>
            </w14:solidFill>
          </w14:textFill>
        </w:rPr>
        <w:t xml:space="preserve">This dissertation explores the Spanish colonial tribute regime and the labor of Andean Indigenous peoples in the Viceroyalty of Peru during the sixteenth century. Specifically, it focuses on Spanish data collection through </w:t>
      </w:r>
      <w:r>
        <w:rPr>
          <w:rFonts w:ascii="Times New Roman" w:hAnsi="Times New Roman"/>
          <w:i w:val="1"/>
          <w:iCs w:val="1"/>
          <w:outline w:val="0"/>
          <w:color w:val="000000"/>
          <w:kern w:val="0"/>
          <w:sz w:val="22"/>
          <w:szCs w:val="22"/>
          <w:u w:color="000000"/>
          <w:rtl w:val="0"/>
          <w:lang w:val="es-ES_tradnl"/>
          <w14:textFill>
            <w14:solidFill>
              <w14:srgbClr w14:val="000000"/>
            </w14:solidFill>
          </w14:textFill>
        </w:rPr>
        <w:t>visitas</w:t>
      </w:r>
      <w:r>
        <w:rPr>
          <w:rFonts w:ascii="Times New Roman" w:hAnsi="Times New Roman" w:hint="default"/>
          <w:outline w:val="0"/>
          <w:color w:val="000000"/>
          <w:kern w:val="0"/>
          <w:sz w:val="22"/>
          <w:szCs w:val="22"/>
          <w:u w:color="000000"/>
          <w:rtl w:val="0"/>
          <w:lang w:val="en-US"/>
          <w14:textFill>
            <w14:solidFill>
              <w14:srgbClr w14:val="000000"/>
            </w14:solidFill>
          </w14:textFill>
        </w:rPr>
        <w:t>—</w:t>
      </w:r>
      <w:r>
        <w:rPr>
          <w:rFonts w:ascii="Times New Roman" w:hAnsi="Times New Roman"/>
          <w:outline w:val="0"/>
          <w:color w:val="000000"/>
          <w:kern w:val="0"/>
          <w:sz w:val="22"/>
          <w:szCs w:val="22"/>
          <w:u w:color="000000"/>
          <w:rtl w:val="0"/>
          <w:lang w:val="en-US"/>
          <w14:textFill>
            <w14:solidFill>
              <w14:srgbClr w14:val="000000"/>
            </w14:solidFill>
          </w14:textFill>
        </w:rPr>
        <w:t>land inspections and censuses of Indigenous villages, in which colonial inspectors traveled to Andean communities and engaged with local populations through interviews, observations, and the recording of information related to crops, animals, textiles, land management, demographics, and other aspects of Indigenous labor relevant to the calculation of seasonal tribute payments. The tribute regime initiated multiple epistemological exchanges that contributed to the construction of ethnographic, natural, and mathematical forms of knowledge. The dissertation shows that, in the process of documenting Andean lands and peoples, Spanish colonial bureaucratic records were sites of knowledge production involving both Spanish and Andean actors, and how these interactions contributed to the foundations of Spanish colonialism in South America</w:t>
      </w:r>
      <w:r>
        <w:rPr>
          <w:rFonts w:ascii="Times New Roman" w:hAnsi="Times New Roman"/>
          <w:sz w:val="22"/>
          <w:szCs w:val="22"/>
          <w:rtl w:val="0"/>
        </w:rPr>
        <w:t>.</w:t>
      </w:r>
    </w:p>
    <w:p>
      <w:pPr>
        <w:pStyle w:val="Normal (Web)"/>
        <w:spacing w:before="0" w:after="0"/>
      </w:pPr>
      <w:r>
        <w:rPr>
          <w:rtl w:val="0"/>
          <w:lang w:val="en-US"/>
        </w:rPr>
        <w:t xml:space="preserve">Date: June 17, 2025 </w:t>
        <w:tab/>
        <w:tab/>
        <w:tab/>
        <w:tab/>
        <w:tab/>
        <w:t>Department: History</w:t>
      </w:r>
    </w:p>
    <w:p>
      <w:pPr>
        <w:pStyle w:val="Normal (Web)"/>
        <w:spacing w:before="0" w:after="0"/>
      </w:pPr>
      <w:r>
        <w:rPr>
          <w:rtl w:val="0"/>
          <w:lang w:val="en-US"/>
        </w:rPr>
        <w:t xml:space="preserve">Time: 11.00 a.m. </w:t>
        <w:tab/>
        <w:tab/>
        <w:tab/>
        <w:tab/>
        <w:tab/>
        <w:t>Major Professor: Dr. Bianca Premo</w:t>
      </w:r>
    </w:p>
    <w:p>
      <w:pPr>
        <w:pStyle w:val="Normal (Web)"/>
        <w:spacing w:before="0" w:after="0"/>
      </w:pPr>
      <w:r>
        <w:rPr>
          <w:rtl w:val="0"/>
          <w:lang w:val="en-US"/>
        </w:rPr>
        <w:t xml:space="preserve">Maidique Campus, SIPA II 301 </w:t>
      </w:r>
    </w:p>
    <w:p>
      <w:pPr>
        <w:pStyle w:val="Normal (Web)"/>
        <w:spacing w:before="0" w:after="0"/>
      </w:pPr>
      <w:r>
        <w:rPr>
          <w:rtl w:val="0"/>
          <w:lang w:val="en-US"/>
        </w:rPr>
        <w:t xml:space="preserve">Zoom Link: </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